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6CBF" w14:textId="40D96897" w:rsidR="00B5698F" w:rsidRDefault="00B5698F" w:rsidP="00B5698F">
      <w:pPr>
        <w:rPr>
          <w:rStyle w:val="Lienhypertexte"/>
        </w:rPr>
      </w:pPr>
      <w:r>
        <w:tab/>
      </w:r>
    </w:p>
    <w:p w14:paraId="4A0E856C" w14:textId="77777777" w:rsidR="00B5698F" w:rsidRDefault="00B5698F" w:rsidP="00B5698F">
      <w:pPr>
        <w:rPr>
          <w:rStyle w:val="Lienhypertexte"/>
        </w:rPr>
      </w:pPr>
    </w:p>
    <w:p w14:paraId="2A215642" w14:textId="77777777" w:rsidR="00B5698F" w:rsidRPr="004F6C9E" w:rsidRDefault="00B5698F" w:rsidP="00B5698F">
      <w:pPr>
        <w:ind w:left="-900" w:right="-1010"/>
        <w:jc w:val="center"/>
        <w:rPr>
          <w:rFonts w:ascii="Cambria" w:hAnsi="Cambria"/>
          <w:sz w:val="28"/>
          <w:szCs w:val="28"/>
        </w:rPr>
      </w:pPr>
      <w:r w:rsidRPr="004F6C9E">
        <w:rPr>
          <w:rFonts w:ascii="Cambria" w:eastAsia="Cambria" w:hAnsi="Cambria"/>
          <w:sz w:val="28"/>
          <w:szCs w:val="28"/>
          <w:lang w:eastAsia="en-US"/>
        </w:rPr>
        <w:t> </w:t>
      </w:r>
      <w:r w:rsidR="00227F74">
        <w:rPr>
          <w:rFonts w:ascii="Cambria" w:hAnsi="Cambria"/>
          <w:b/>
          <w:sz w:val="28"/>
          <w:szCs w:val="28"/>
        </w:rPr>
        <w:pict w14:anchorId="5681550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1pt;height:35pt" fillcolor="black">
            <v:shadow color="#868686"/>
            <v:textpath style="font-family:&quot;Arial Black&quot;;v-text-kern:t" trim="t" fitpath="t" string="AIRAP"/>
          </v:shape>
        </w:pict>
      </w:r>
    </w:p>
    <w:p w14:paraId="5BF6DA2C" w14:textId="77777777" w:rsidR="00B5698F" w:rsidRPr="009664A8" w:rsidRDefault="00B5698F" w:rsidP="00B5698F">
      <w:pPr>
        <w:jc w:val="center"/>
      </w:pPr>
    </w:p>
    <w:p w14:paraId="281CACAB" w14:textId="77777777" w:rsidR="00B5698F" w:rsidRPr="00775322" w:rsidRDefault="00B5698F" w:rsidP="00B5698F">
      <w:pPr>
        <w:ind w:left="-1080" w:right="-1008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8"/>
        </w:rPr>
        <w:t xml:space="preserve">   </w:t>
      </w:r>
      <w:r>
        <w:rPr>
          <w:rFonts w:ascii="Arial" w:hAnsi="Arial" w:cs="Arial"/>
          <w:b/>
          <w:sz w:val="40"/>
          <w:szCs w:val="48"/>
        </w:rPr>
        <w:tab/>
      </w:r>
      <w:r w:rsidRPr="0013073D">
        <w:rPr>
          <w:rFonts w:ascii="Arial" w:hAnsi="Arial" w:cs="Arial"/>
          <w:b/>
          <w:sz w:val="40"/>
          <w:szCs w:val="48"/>
        </w:rPr>
        <w:t>A</w:t>
      </w:r>
      <w:r w:rsidRPr="0013073D">
        <w:rPr>
          <w:rFonts w:ascii="Arial" w:hAnsi="Arial" w:cs="Arial"/>
          <w:b/>
          <w:szCs w:val="28"/>
        </w:rPr>
        <w:t>ssociation</w:t>
      </w:r>
      <w:r w:rsidRPr="00775322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Cs w:val="28"/>
        </w:rPr>
        <w:t>pour</w:t>
      </w:r>
      <w:r w:rsidRPr="00FD07A3">
        <w:rPr>
          <w:rFonts w:ascii="Arial" w:hAnsi="Arial" w:cs="Arial"/>
          <w:b/>
          <w:sz w:val="28"/>
          <w:szCs w:val="28"/>
        </w:rPr>
        <w:t xml:space="preserve"> </w:t>
      </w:r>
      <w:r w:rsidRPr="0013073D">
        <w:rPr>
          <w:rFonts w:ascii="Arial" w:hAnsi="Arial" w:cs="Arial"/>
          <w:b/>
          <w:szCs w:val="28"/>
        </w:rPr>
        <w:t>l’</w:t>
      </w:r>
      <w:r w:rsidRPr="0013073D">
        <w:rPr>
          <w:rFonts w:ascii="Arial" w:hAnsi="Arial" w:cs="Arial"/>
          <w:b/>
          <w:sz w:val="40"/>
          <w:szCs w:val="48"/>
        </w:rPr>
        <w:t>I</w:t>
      </w:r>
      <w:r w:rsidRPr="0013073D">
        <w:rPr>
          <w:rFonts w:ascii="Arial" w:hAnsi="Arial" w:cs="Arial"/>
          <w:b/>
          <w:szCs w:val="28"/>
        </w:rPr>
        <w:t>nformation</w:t>
      </w:r>
      <w:r w:rsidRPr="0013073D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Cs w:val="28"/>
        </w:rPr>
        <w:t>sur les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8"/>
        </w:rPr>
        <w:t>R</w:t>
      </w:r>
      <w:r w:rsidRPr="0013073D">
        <w:rPr>
          <w:rFonts w:ascii="Arial" w:hAnsi="Arial" w:cs="Arial"/>
          <w:b/>
          <w:szCs w:val="28"/>
        </w:rPr>
        <w:t>isques</w:t>
      </w:r>
      <w:r w:rsidRPr="0013073D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 w:val="40"/>
          <w:szCs w:val="28"/>
        </w:rPr>
        <w:t>d’</w:t>
      </w:r>
      <w:r>
        <w:rPr>
          <w:rFonts w:ascii="Arial" w:hAnsi="Arial" w:cs="Arial"/>
          <w:b/>
          <w:sz w:val="40"/>
          <w:szCs w:val="48"/>
        </w:rPr>
        <w:t>A</w:t>
      </w:r>
      <w:r w:rsidRPr="0013073D">
        <w:rPr>
          <w:rFonts w:ascii="Arial" w:hAnsi="Arial" w:cs="Arial"/>
          <w:b/>
          <w:szCs w:val="28"/>
        </w:rPr>
        <w:t>valanche</w:t>
      </w:r>
      <w:r>
        <w:rPr>
          <w:rFonts w:ascii="Arial" w:hAnsi="Arial" w:cs="Arial"/>
          <w:b/>
          <w:szCs w:val="28"/>
        </w:rPr>
        <w:t>s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8"/>
        </w:rPr>
        <w:t xml:space="preserve">urbaines </w:t>
      </w:r>
      <w:r w:rsidRPr="0013073D">
        <w:rPr>
          <w:rFonts w:ascii="Arial" w:hAnsi="Arial" w:cs="Arial"/>
          <w:b/>
          <w:szCs w:val="28"/>
        </w:rPr>
        <w:t>et leur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8"/>
        </w:rPr>
        <w:t>P</w:t>
      </w:r>
      <w:r w:rsidRPr="0013073D">
        <w:rPr>
          <w:rFonts w:ascii="Arial" w:hAnsi="Arial" w:cs="Arial"/>
          <w:b/>
          <w:szCs w:val="28"/>
        </w:rPr>
        <w:t>révention</w:t>
      </w:r>
    </w:p>
    <w:p w14:paraId="6F18D810" w14:textId="77777777" w:rsidR="00B5698F" w:rsidRDefault="00B5698F" w:rsidP="00B5698F">
      <w:pPr>
        <w:jc w:val="center"/>
        <w:rPr>
          <w:sz w:val="18"/>
          <w:szCs w:val="18"/>
        </w:rPr>
      </w:pPr>
    </w:p>
    <w:p w14:paraId="2725C3A4" w14:textId="77777777" w:rsidR="00B5698F" w:rsidRPr="00FD07A3" w:rsidRDefault="00B5698F" w:rsidP="00B5698F">
      <w:pPr>
        <w:jc w:val="center"/>
        <w:rPr>
          <w:rFonts w:ascii="Arial" w:hAnsi="Arial" w:cs="Arial"/>
          <w:b/>
        </w:rPr>
      </w:pPr>
      <w:r>
        <w:rPr>
          <w:b/>
          <w:szCs w:val="18"/>
        </w:rPr>
        <w:t>32, rue La Boët</w:t>
      </w:r>
      <w:r w:rsidRPr="00221AC6">
        <w:rPr>
          <w:b/>
          <w:szCs w:val="18"/>
        </w:rPr>
        <w:t>ie</w:t>
      </w:r>
      <w:r>
        <w:rPr>
          <w:sz w:val="18"/>
          <w:szCs w:val="18"/>
        </w:rPr>
        <w:t xml:space="preserve"> </w:t>
      </w:r>
      <w:r w:rsidRPr="00FD07A3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>75008 Paris</w:t>
      </w:r>
    </w:p>
    <w:p w14:paraId="6ECF3EB8" w14:textId="77777777" w:rsidR="00B5698F" w:rsidRPr="00FD07A3" w:rsidRDefault="00B5698F" w:rsidP="00B5698F">
      <w:pPr>
        <w:jc w:val="center"/>
        <w:rPr>
          <w:rFonts w:ascii="Arial" w:hAnsi="Arial" w:cs="Arial"/>
          <w:sz w:val="20"/>
          <w:szCs w:val="20"/>
        </w:rPr>
      </w:pPr>
    </w:p>
    <w:p w14:paraId="1FA61860" w14:textId="77777777" w:rsidR="00B5698F" w:rsidRDefault="00B5698F" w:rsidP="00B5698F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Jean-Claude Bourdais</w:t>
      </w:r>
      <w:r w:rsidRPr="004328F2">
        <w:rPr>
          <w:rFonts w:ascii="Arial" w:hAnsi="Arial" w:cs="Arial"/>
          <w:sz w:val="16"/>
          <w:szCs w:val="16"/>
        </w:rPr>
        <w:t>, Président</w:t>
      </w:r>
      <w:r w:rsidRPr="00FD07A3">
        <w:rPr>
          <w:rFonts w:ascii="Arial" w:hAnsi="Arial" w:cs="Arial"/>
          <w:b/>
          <w:sz w:val="16"/>
          <w:szCs w:val="16"/>
        </w:rPr>
        <w:tab/>
      </w:r>
      <w:r w:rsidRPr="00FD07A3">
        <w:rPr>
          <w:rFonts w:ascii="Arial" w:hAnsi="Arial" w:cs="Arial"/>
          <w:sz w:val="16"/>
          <w:szCs w:val="16"/>
        </w:rPr>
        <w:sym w:font="Wingdings 2" w:char="F027"/>
      </w:r>
      <w:r w:rsidRPr="00FD07A3">
        <w:rPr>
          <w:rFonts w:ascii="Arial" w:hAnsi="Arial" w:cs="Arial"/>
          <w:sz w:val="16"/>
          <w:szCs w:val="16"/>
        </w:rPr>
        <w:t xml:space="preserve">   06 </w:t>
      </w:r>
      <w:r>
        <w:rPr>
          <w:rFonts w:ascii="Arial" w:hAnsi="Arial" w:cs="Arial"/>
          <w:sz w:val="16"/>
          <w:szCs w:val="16"/>
        </w:rPr>
        <w:t xml:space="preserve"> 07 65 65 65</w:t>
      </w:r>
      <w:r w:rsidRPr="00FD07A3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 e-mail : jc.bourdais@spf-paris.com</w:t>
      </w:r>
    </w:p>
    <w:p w14:paraId="4201D458" w14:textId="77777777" w:rsidR="00B5698F" w:rsidRPr="0095173C" w:rsidRDefault="00B5698F" w:rsidP="00B5698F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Jean-Guy Cuvelier, </w:t>
      </w:r>
      <w:r w:rsidRPr="00E75148">
        <w:rPr>
          <w:rFonts w:ascii="Arial" w:hAnsi="Arial" w:cs="Arial"/>
          <w:sz w:val="16"/>
          <w:szCs w:val="16"/>
        </w:rPr>
        <w:t>Vice-président</w:t>
      </w:r>
    </w:p>
    <w:p w14:paraId="5B3C1A05" w14:textId="77777777" w:rsidR="00B5698F" w:rsidRDefault="00B5698F" w:rsidP="00B5698F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Gilbert Delaunay</w:t>
      </w:r>
      <w:r>
        <w:rPr>
          <w:rFonts w:ascii="Arial" w:hAnsi="Arial" w:cs="Arial"/>
          <w:sz w:val="16"/>
          <w:szCs w:val="16"/>
        </w:rPr>
        <w:t>,</w:t>
      </w:r>
      <w:r w:rsidRPr="00221A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Vice-président</w:t>
      </w:r>
    </w:p>
    <w:p w14:paraId="2BBF1ACB" w14:textId="77777777" w:rsidR="00B5698F" w:rsidRPr="00FD07A3" w:rsidRDefault="00B5698F" w:rsidP="00B5698F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FENVAC-SOS Catastrophes et Terrorisme</w:t>
      </w:r>
      <w:r>
        <w:rPr>
          <w:rFonts w:ascii="Arial" w:hAnsi="Arial" w:cs="Arial"/>
          <w:sz w:val="16"/>
          <w:szCs w:val="16"/>
        </w:rPr>
        <w:t>, représentée par son président, Pierre-Etienne Denis</w:t>
      </w:r>
    </w:p>
    <w:p w14:paraId="5D73A394" w14:textId="77777777" w:rsidR="00B5698F" w:rsidRPr="001357B8" w:rsidRDefault="00B5698F" w:rsidP="00B5698F">
      <w:pPr>
        <w:pBdr>
          <w:bottom w:val="single" w:sz="4" w:space="2" w:color="auto"/>
        </w:pBdr>
        <w:tabs>
          <w:tab w:val="center" w:pos="4536"/>
          <w:tab w:val="left" w:pos="6420"/>
        </w:tabs>
        <w:ind w:left="-900" w:right="-1010"/>
        <w:rPr>
          <w:rFonts w:ascii="Arial" w:hAnsi="Arial" w:cs="Arial"/>
          <w:b/>
          <w:sz w:val="20"/>
          <w:szCs w:val="20"/>
        </w:rPr>
      </w:pPr>
    </w:p>
    <w:p w14:paraId="385749B2" w14:textId="77777777" w:rsidR="00B5698F" w:rsidRDefault="00B5698F" w:rsidP="00B56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2FED8" w14:textId="585BCB89" w:rsidR="00977DF7" w:rsidRDefault="00227F74" w:rsidP="00B5698F">
      <w:hyperlink r:id="rId8" w:history="1">
        <w:r w:rsidR="00B5698F" w:rsidRPr="000C4D54">
          <w:rPr>
            <w:rStyle w:val="Lienhypertexte"/>
          </w:rPr>
          <w:t>www.airap.asso.fr</w:t>
        </w:r>
      </w:hyperlink>
      <w:r w:rsidR="00B5698F">
        <w:tab/>
      </w:r>
      <w:r w:rsidR="00362003">
        <w:tab/>
      </w:r>
      <w:r w:rsidR="00362003">
        <w:tab/>
      </w:r>
      <w:r w:rsidR="00362003">
        <w:tab/>
      </w:r>
      <w:r w:rsidR="00362003">
        <w:tab/>
      </w:r>
      <w:r w:rsidR="00362003">
        <w:tab/>
      </w:r>
      <w:r w:rsidR="00362003">
        <w:tab/>
        <w:t>le 19 mars 2018</w:t>
      </w:r>
    </w:p>
    <w:p w14:paraId="78E75B63" w14:textId="77777777" w:rsidR="00977DF7" w:rsidRDefault="00977DF7" w:rsidP="00B5698F"/>
    <w:p w14:paraId="5EA9EAA3" w14:textId="77777777" w:rsidR="00977DF7" w:rsidRDefault="00977DF7" w:rsidP="00B5698F"/>
    <w:p w14:paraId="379B4ADA" w14:textId="77777777" w:rsidR="00977DF7" w:rsidRDefault="00977DF7" w:rsidP="00B5698F"/>
    <w:p w14:paraId="5B936CA7" w14:textId="77777777" w:rsidR="00977DF7" w:rsidRDefault="00977DF7" w:rsidP="00B5698F"/>
    <w:p w14:paraId="18CF5AB1" w14:textId="280D15AE" w:rsidR="003B7FD0" w:rsidRDefault="003B7FD0" w:rsidP="003B7FD0">
      <w:r>
        <w:tab/>
      </w:r>
      <w:r>
        <w:tab/>
      </w:r>
      <w:r>
        <w:tab/>
      </w:r>
      <w:r>
        <w:tab/>
      </w:r>
      <w:r w:rsidR="00F57908">
        <w:t xml:space="preserve">                                                </w:t>
      </w:r>
      <w:r w:rsidRPr="003B7FD0">
        <w:t xml:space="preserve"> </w:t>
      </w:r>
      <w:r>
        <w:t>Monsieur Henri Giscard d’Estaing</w:t>
      </w:r>
    </w:p>
    <w:p w14:paraId="65D6E6AE" w14:textId="55EE0C6F" w:rsidR="003B7FD0" w:rsidRDefault="003B7FD0" w:rsidP="003B7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6C2">
        <w:t xml:space="preserve"> </w:t>
      </w:r>
      <w:r>
        <w:t>Président- Directeur général</w:t>
      </w:r>
    </w:p>
    <w:p w14:paraId="005C8BC3" w14:textId="4E1BF44B" w:rsidR="003B7FD0" w:rsidRDefault="003B7FD0" w:rsidP="003B7FD0">
      <w:r w:rsidRPr="005C53E2">
        <w:rPr>
          <w:b/>
          <w:u w:val="single"/>
        </w:rPr>
        <w:t>Village de Tignes</w:t>
      </w:r>
      <w:r>
        <w:tab/>
      </w:r>
      <w:r>
        <w:tab/>
      </w:r>
      <w:r>
        <w:tab/>
      </w:r>
      <w:r>
        <w:tab/>
      </w:r>
      <w:r w:rsidR="00D416C2">
        <w:tab/>
      </w:r>
      <w:r w:rsidR="00D416C2">
        <w:tab/>
      </w:r>
      <w:r w:rsidR="00A53606">
        <w:t xml:space="preserve"> </w:t>
      </w:r>
      <w:r>
        <w:t>Club Med</w:t>
      </w:r>
    </w:p>
    <w:p w14:paraId="796A768D" w14:textId="155765C6" w:rsidR="003B7FD0" w:rsidRDefault="001F7E6B" w:rsidP="003B7FD0">
      <w:r w:rsidRPr="001F7E6B">
        <w:rPr>
          <w:b/>
          <w:u w:val="single"/>
        </w:rPr>
        <w:t>zonage d’avalanches</w:t>
      </w:r>
      <w:r w:rsidR="003B7FD0">
        <w:tab/>
      </w:r>
      <w:r w:rsidR="003B7FD0">
        <w:tab/>
      </w:r>
      <w:r w:rsidR="003B7FD0">
        <w:tab/>
      </w:r>
      <w:r w:rsidR="003B7FD0">
        <w:tab/>
      </w:r>
      <w:r w:rsidR="003B7FD0">
        <w:tab/>
      </w:r>
      <w:r w:rsidR="003B7FD0">
        <w:tab/>
        <w:t xml:space="preserve"> 11 rue de Cambrai</w:t>
      </w:r>
    </w:p>
    <w:p w14:paraId="045300B4" w14:textId="2177B265" w:rsidR="003B7FD0" w:rsidRDefault="003B7FD0" w:rsidP="003B7FD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416C2">
        <w:tab/>
      </w:r>
      <w:r w:rsidR="00D416C2">
        <w:tab/>
      </w:r>
      <w:r w:rsidR="00A53606">
        <w:t xml:space="preserve"> </w:t>
      </w:r>
      <w:r>
        <w:t>75019 Paris</w:t>
      </w:r>
    </w:p>
    <w:p w14:paraId="41BC2C3E" w14:textId="77777777" w:rsidR="00977DF7" w:rsidRDefault="00977DF7" w:rsidP="00B5698F"/>
    <w:p w14:paraId="6AFA1DBD" w14:textId="77777777" w:rsidR="00977DF7" w:rsidRDefault="00977DF7" w:rsidP="00B5698F"/>
    <w:p w14:paraId="1853C5FC" w14:textId="77777777" w:rsidR="00977DF7" w:rsidRDefault="00977DF7" w:rsidP="00B5698F"/>
    <w:p w14:paraId="60DF24CB" w14:textId="77777777" w:rsidR="00977DF7" w:rsidRDefault="00977DF7" w:rsidP="00B5698F"/>
    <w:p w14:paraId="6B936E30" w14:textId="77777777" w:rsidR="00977DF7" w:rsidRDefault="00977DF7" w:rsidP="00B5698F"/>
    <w:p w14:paraId="6DAA3C6B" w14:textId="1F78A728" w:rsidR="00B33B2B" w:rsidRPr="00227F74" w:rsidRDefault="00977DF7">
      <w:pPr>
        <w:rPr>
          <w:rFonts w:ascii="Arial Black" w:hAnsi="Arial Black"/>
          <w:b/>
          <w:sz w:val="20"/>
        </w:rPr>
      </w:pPr>
      <w:bookmarkStart w:id="0" w:name="_GoBack"/>
      <w:bookmarkEnd w:id="0"/>
      <w:r>
        <w:t>Monsieur le Président-directeur-général,</w:t>
      </w:r>
    </w:p>
    <w:p w14:paraId="36DCC99C" w14:textId="77777777" w:rsidR="00977DF7" w:rsidRDefault="00977DF7"/>
    <w:p w14:paraId="4F2F3F83" w14:textId="77777777" w:rsidR="00977DF7" w:rsidRDefault="00977DF7"/>
    <w:p w14:paraId="62A45643" w14:textId="77777777" w:rsidR="00977DF7" w:rsidRDefault="00977DF7"/>
    <w:p w14:paraId="558E21BA" w14:textId="6219EED8" w:rsidR="00977DF7" w:rsidRDefault="00977DF7">
      <w:r>
        <w:t>A la suite du long entretien avec vos trois collaborateurs</w:t>
      </w:r>
      <w:r w:rsidR="00DC7800">
        <w:t xml:space="preserve"> c</w:t>
      </w:r>
      <w:r w:rsidR="000E264A">
        <w:t>e vendredi 16 mars</w:t>
      </w:r>
      <w:r>
        <w:t>, nous n</w:t>
      </w:r>
      <w:r w:rsidR="00D055DA">
        <w:t>e pouv</w:t>
      </w:r>
      <w:r>
        <w:t>ons</w:t>
      </w:r>
      <w:r w:rsidR="00904D22">
        <w:t xml:space="preserve"> que vous confirmer notre grand</w:t>
      </w:r>
      <w:r>
        <w:t xml:space="preserve"> </w:t>
      </w:r>
      <w:r w:rsidR="00D055DA">
        <w:t>étonnement des positions prise</w:t>
      </w:r>
      <w:r w:rsidR="00904D22">
        <w:t>s</w:t>
      </w:r>
      <w:r w:rsidR="00D055DA">
        <w:t xml:space="preserve"> </w:t>
      </w:r>
      <w:r>
        <w:t>par votre société dans ce dossier de permis de construire un village de 1000 lits sur 40 000 M2 à Tignes.</w:t>
      </w:r>
    </w:p>
    <w:p w14:paraId="48B0D129" w14:textId="77777777" w:rsidR="00977DF7" w:rsidRDefault="00977DF7"/>
    <w:p w14:paraId="4254DDA6" w14:textId="71041A8C" w:rsidR="00977DF7" w:rsidRDefault="00B40542">
      <w:r>
        <w:t>De ces entretiens,</w:t>
      </w:r>
      <w:r w:rsidR="00977DF7">
        <w:t xml:space="preserve"> ressort</w:t>
      </w:r>
      <w:r>
        <w:t>ent</w:t>
      </w:r>
      <w:r w:rsidR="00977DF7">
        <w:t xml:space="preserve"> très clairement</w:t>
      </w:r>
      <w:r>
        <w:t>,</w:t>
      </w:r>
      <w:r w:rsidR="00977DF7">
        <w:t xml:space="preserve"> ce que nous avions </w:t>
      </w:r>
      <w:r w:rsidR="005F00C6">
        <w:t xml:space="preserve">imaginé </w:t>
      </w:r>
      <w:r w:rsidR="000E264A">
        <w:t>d’ailleurs, et</w:t>
      </w:r>
      <w:r w:rsidR="00977DF7">
        <w:t xml:space="preserve"> qui nous semble inacceptable d’une société comme la vôtre</w:t>
      </w:r>
      <w:r>
        <w:t>, les point suivants :</w:t>
      </w:r>
    </w:p>
    <w:p w14:paraId="2E19AC0A" w14:textId="5F6D02A9" w:rsidR="005F00C6" w:rsidRDefault="00904D22" w:rsidP="005F00C6">
      <w:pPr>
        <w:pStyle w:val="Paragraphedeliste"/>
        <w:numPr>
          <w:ilvl w:val="0"/>
          <w:numId w:val="1"/>
        </w:numPr>
      </w:pPr>
      <w:r>
        <w:t xml:space="preserve">1° </w:t>
      </w:r>
      <w:r w:rsidR="00977DF7">
        <w:t>vous avez parfaitement conscience</w:t>
      </w:r>
      <w:r w:rsidR="005F00C6">
        <w:t>, vous nous l’avez confirmé,</w:t>
      </w:r>
      <w:r w:rsidR="00977DF7">
        <w:t xml:space="preserve"> que</w:t>
      </w:r>
      <w:r>
        <w:t xml:space="preserve"> l’Etat n’a pas actuellement fai</w:t>
      </w:r>
      <w:r w:rsidR="00977DF7">
        <w:t>t ce qu’il aurait du faire pour analyser le risque d’aléa exceptionnel à Tignes</w:t>
      </w:r>
      <w:r w:rsidR="00C11238">
        <w:t>,</w:t>
      </w:r>
      <w:r w:rsidR="005F00C6">
        <w:t xml:space="preserve"> qu’en conséque</w:t>
      </w:r>
      <w:r>
        <w:t>n</w:t>
      </w:r>
      <w:r w:rsidR="005F00C6">
        <w:t>ce de quoi, le PPR A de 20</w:t>
      </w:r>
      <w:r w:rsidR="00C11238">
        <w:t>12 avait à s ‘appliquer et rien</w:t>
      </w:r>
      <w:r>
        <w:t xml:space="preserve"> </w:t>
      </w:r>
      <w:r w:rsidR="005F00C6">
        <w:t>d’autre</w:t>
      </w:r>
      <w:r w:rsidR="000E264A">
        <w:t>. Or, c</w:t>
      </w:r>
      <w:r>
        <w:t>elui-ci ignore la notion d’aléa exceptionnel, par hypothèse</w:t>
      </w:r>
      <w:r w:rsidR="00C11238">
        <w:t xml:space="preserve">, </w:t>
      </w:r>
      <w:r w:rsidR="000E264A">
        <w:t xml:space="preserve"> puisqu’il n’a pas été révisé à ce jour.</w:t>
      </w:r>
    </w:p>
    <w:p w14:paraId="29E9D027" w14:textId="77777777" w:rsidR="00977DF7" w:rsidRDefault="00977DF7" w:rsidP="00977DF7"/>
    <w:p w14:paraId="09E33DD1" w14:textId="71A22B00" w:rsidR="00977DF7" w:rsidRDefault="00B40542" w:rsidP="00977DF7">
      <w:pPr>
        <w:pStyle w:val="Paragraphedeliste"/>
        <w:numPr>
          <w:ilvl w:val="0"/>
          <w:numId w:val="1"/>
        </w:numPr>
      </w:pPr>
      <w:r>
        <w:lastRenderedPageBreak/>
        <w:t>2°</w:t>
      </w:r>
      <w:r w:rsidR="00977DF7">
        <w:t xml:space="preserve"> votre position est donc toujours de ne pas juger nécessaire de demander à ce même Etat, en l’occurrence au préfet de Savoie</w:t>
      </w:r>
      <w:r w:rsidR="000E264A">
        <w:t>,</w:t>
      </w:r>
      <w:r w:rsidR="00977DF7">
        <w:t xml:space="preserve"> de s’acquitter de cette obligation d’afficher le risque dans ce secteur du Val </w:t>
      </w:r>
      <w:r w:rsidR="005F00C6">
        <w:t>C</w:t>
      </w:r>
      <w:r w:rsidR="000E264A">
        <w:t>l</w:t>
      </w:r>
      <w:r w:rsidR="005F00C6">
        <w:t>aret</w:t>
      </w:r>
      <w:r w:rsidR="00977DF7">
        <w:t xml:space="preserve"> que vous savez être </w:t>
      </w:r>
      <w:r w:rsidR="00E64BB9">
        <w:t xml:space="preserve">déjà </w:t>
      </w:r>
      <w:r w:rsidR="000E264A">
        <w:t>en zone d’avalanche « bleue » alors</w:t>
      </w:r>
      <w:r w:rsidR="00977DF7">
        <w:t xml:space="preserve"> que</w:t>
      </w:r>
      <w:r w:rsidR="000E264A">
        <w:t xml:space="preserve"> vous</w:t>
      </w:r>
      <w:r w:rsidR="00977DF7">
        <w:t xml:space="preserve"> savez, par ailleurs, que l’étude de l’IRSTEA y signale </w:t>
      </w:r>
      <w:r w:rsidR="00F57908">
        <w:t>plusieurs SSA,H laissant imaginer qu’il existe une probabilité réelle de zonage d’aléa exceptionnel</w:t>
      </w:r>
      <w:r w:rsidR="00977DF7">
        <w:t>.</w:t>
      </w:r>
    </w:p>
    <w:p w14:paraId="6DC71FA3" w14:textId="77777777" w:rsidR="00977DF7" w:rsidRDefault="00977DF7" w:rsidP="00977DF7"/>
    <w:p w14:paraId="0B15B092" w14:textId="75588F64" w:rsidR="00977DF7" w:rsidRDefault="00B40542" w:rsidP="00977DF7">
      <w:pPr>
        <w:pStyle w:val="Paragraphedeliste"/>
        <w:numPr>
          <w:ilvl w:val="0"/>
          <w:numId w:val="1"/>
        </w:numPr>
      </w:pPr>
      <w:r>
        <w:t>3°</w:t>
      </w:r>
      <w:r w:rsidR="00D957B4">
        <w:t xml:space="preserve"> </w:t>
      </w:r>
      <w:r w:rsidR="005F00C6">
        <w:t>v</w:t>
      </w:r>
      <w:r w:rsidR="00977DF7">
        <w:t>otre</w:t>
      </w:r>
      <w:r w:rsidR="00D957B4">
        <w:t xml:space="preserve"> connaissance de cet état</w:t>
      </w:r>
      <w:r w:rsidR="00E756C2">
        <w:t xml:space="preserve"> de fait </w:t>
      </w:r>
      <w:r w:rsidR="00977DF7">
        <w:t xml:space="preserve">a </w:t>
      </w:r>
      <w:r w:rsidR="000E264A">
        <w:t xml:space="preserve">pourtant </w:t>
      </w:r>
      <w:r w:rsidR="00977DF7">
        <w:t xml:space="preserve">justifié de votre part, comme vous nous l’avez indiqué, la </w:t>
      </w:r>
      <w:r w:rsidR="005F00C6">
        <w:t>réalisation</w:t>
      </w:r>
      <w:r w:rsidR="00977DF7">
        <w:t xml:space="preserve"> par un </w:t>
      </w:r>
      <w:r w:rsidR="005F00C6">
        <w:t>bureau</w:t>
      </w:r>
      <w:r w:rsidR="00D957B4">
        <w:t xml:space="preserve"> d’études privé</w:t>
      </w:r>
      <w:r w:rsidR="00E64BB9">
        <w:t>, E</w:t>
      </w:r>
      <w:r w:rsidR="00B61246">
        <w:t>ngineerisk,</w:t>
      </w:r>
      <w:r w:rsidR="00E64BB9">
        <w:t xml:space="preserve"> </w:t>
      </w:r>
      <w:r w:rsidR="00977DF7">
        <w:t xml:space="preserve">d’une analyse du secteur dont vous n’avez pas </w:t>
      </w:r>
      <w:r w:rsidR="005F00C6">
        <w:t>souhaité</w:t>
      </w:r>
      <w:r w:rsidR="00977DF7">
        <w:t xml:space="preserve"> </w:t>
      </w:r>
      <w:r w:rsidR="00D055DA">
        <w:t>communiquer les conclusions dans le</w:t>
      </w:r>
      <w:r w:rsidR="000E264A">
        <w:t>s pièces annexes</w:t>
      </w:r>
      <w:r w:rsidR="00E64BB9">
        <w:t>, par ailleurs très complètes,</w:t>
      </w:r>
      <w:r w:rsidR="000E264A">
        <w:t xml:space="preserve"> du dossier de permis de cons</w:t>
      </w:r>
      <w:r w:rsidR="00D055DA">
        <w:t>truire.</w:t>
      </w:r>
    </w:p>
    <w:p w14:paraId="5A238A5C" w14:textId="77777777" w:rsidR="00977DF7" w:rsidRDefault="00977DF7" w:rsidP="00977DF7"/>
    <w:p w14:paraId="207FC38A" w14:textId="77777777" w:rsidR="00977DF7" w:rsidRDefault="00977DF7" w:rsidP="00977DF7"/>
    <w:p w14:paraId="607D4FFC" w14:textId="3860E463" w:rsidR="00977DF7" w:rsidRDefault="00B40542" w:rsidP="005F00C6">
      <w:pPr>
        <w:pStyle w:val="Paragraphedeliste"/>
        <w:numPr>
          <w:ilvl w:val="0"/>
          <w:numId w:val="1"/>
        </w:numPr>
      </w:pPr>
      <w:r>
        <w:t>4°</w:t>
      </w:r>
      <w:r w:rsidR="00977DF7">
        <w:t xml:space="preserve"> </w:t>
      </w:r>
      <w:r w:rsidR="005F00C6">
        <w:t>vous</w:t>
      </w:r>
      <w:r w:rsidR="00977DF7">
        <w:t xml:space="preserve"> vous </w:t>
      </w:r>
      <w:r w:rsidR="005F00C6">
        <w:t xml:space="preserve">convainquez de votre bonne foi </w:t>
      </w:r>
      <w:r w:rsidR="00D055DA">
        <w:t xml:space="preserve">et cherchez à nous en convaincre </w:t>
      </w:r>
      <w:r w:rsidR="005F00C6">
        <w:t>en indiquant que</w:t>
      </w:r>
      <w:r w:rsidR="00441355">
        <w:t>,</w:t>
      </w:r>
      <w:r w:rsidR="005F00C6">
        <w:t xml:space="preserve"> de toutes manières</w:t>
      </w:r>
      <w:r w:rsidR="00441355">
        <w:t>,</w:t>
      </w:r>
      <w:r w:rsidR="005F00C6">
        <w:t xml:space="preserve"> vous avez prévu un confinement dans le bâtiment lui-même et que</w:t>
      </w:r>
      <w:r w:rsidR="00D055DA">
        <w:t>, donc,</w:t>
      </w:r>
      <w:r w:rsidR="005F00C6">
        <w:t xml:space="preserve"> quoiqu’il puisse arriver, vous êtes en règle puisque ce confinement répond aux obligations d’une zone bleue</w:t>
      </w:r>
      <w:r w:rsidR="00D055DA">
        <w:t>.</w:t>
      </w:r>
    </w:p>
    <w:p w14:paraId="68DCE357" w14:textId="77777777" w:rsidR="00904D22" w:rsidRDefault="00904D22" w:rsidP="00904D22"/>
    <w:p w14:paraId="242A6125" w14:textId="77777777" w:rsidR="001006BB" w:rsidRDefault="001006BB" w:rsidP="001006BB"/>
    <w:p w14:paraId="0760B5C8" w14:textId="77777777" w:rsidR="001006BB" w:rsidRDefault="001006BB" w:rsidP="001006BB"/>
    <w:p w14:paraId="304C2A9D" w14:textId="580A38DA" w:rsidR="001006BB" w:rsidRDefault="001006BB" w:rsidP="001006BB">
      <w:r>
        <w:t>Nos commentaires à ces affirmations de votre part sont les suivantes</w:t>
      </w:r>
    </w:p>
    <w:p w14:paraId="750B92C3" w14:textId="77777777" w:rsidR="001006BB" w:rsidRDefault="001006BB" w:rsidP="001006BB"/>
    <w:p w14:paraId="068DF122" w14:textId="77777777" w:rsidR="001006BB" w:rsidRDefault="001006BB" w:rsidP="001006BB"/>
    <w:p w14:paraId="0E685DB3" w14:textId="4ABB2E14" w:rsidR="001006BB" w:rsidRDefault="001006BB" w:rsidP="00BC2F93">
      <w:pPr>
        <w:pStyle w:val="Paragraphedeliste"/>
        <w:numPr>
          <w:ilvl w:val="0"/>
          <w:numId w:val="1"/>
        </w:numPr>
      </w:pPr>
      <w:r>
        <w:t>1° Sans vouloir assimiler un couloir d’avalanche non cartog</w:t>
      </w:r>
      <w:r w:rsidR="00BC2F93">
        <w:t xml:space="preserve">raphié par l’Etat à un </w:t>
      </w:r>
      <w:r>
        <w:t>médicament qui tue, nous vous rappelons plus précisément que dans</w:t>
      </w:r>
      <w:r w:rsidR="00BC2F93">
        <w:t xml:space="preserve"> l’affaire </w:t>
      </w:r>
      <w:r>
        <w:t xml:space="preserve">du Médiator, </w:t>
      </w:r>
      <w:r w:rsidR="00E64BB9">
        <w:t xml:space="preserve">mis </w:t>
      </w:r>
      <w:r>
        <w:t>vous vous souvenez sans doute</w:t>
      </w:r>
      <w:r w:rsidR="00E64BB9">
        <w:t>,</w:t>
      </w:r>
      <w:r>
        <w:t xml:space="preserve"> l’Ag</w:t>
      </w:r>
      <w:r w:rsidR="00BC2F93">
        <w:t xml:space="preserve">ence du Médicament </w:t>
      </w:r>
      <w:r w:rsidR="00BC2F93">
        <w:tab/>
        <w:t xml:space="preserve">  </w:t>
      </w:r>
      <w:r>
        <w:t>avait autorisé la diffusion de</w:t>
      </w:r>
      <w:r w:rsidR="00BC2F93">
        <w:t xml:space="preserve"> ce produit et qu’elle est aujo</w:t>
      </w:r>
      <w:r>
        <w:t>ur</w:t>
      </w:r>
      <w:r w:rsidR="00BC2F93">
        <w:t xml:space="preserve">d’hui en </w:t>
      </w:r>
      <w:r w:rsidR="00BC2F93">
        <w:tab/>
      </w:r>
      <w:r w:rsidR="00BC2F93">
        <w:tab/>
        <w:t xml:space="preserve">                    </w:t>
      </w:r>
      <w:r>
        <w:t>correctionnelle comme le laboratoire Servier</w:t>
      </w:r>
      <w:r w:rsidR="00BC2F93">
        <w:t>. « I</w:t>
      </w:r>
      <w:r w:rsidR="002C20FB">
        <w:t>ls savaie</w:t>
      </w:r>
      <w:r w:rsidR="00BC2F93">
        <w:t xml:space="preserve">nt et ils n’ont rien </w:t>
      </w:r>
      <w:r w:rsidR="002C20FB">
        <w:t xml:space="preserve">fait » ; le même argument a d’ailleurs été utilisé dans l’affaire </w:t>
      </w:r>
      <w:r w:rsidR="00BC2F93">
        <w:t xml:space="preserve">du « sang </w:t>
      </w:r>
      <w:r w:rsidR="002C20FB">
        <w:t xml:space="preserve"> contaminé ». </w:t>
      </w:r>
    </w:p>
    <w:p w14:paraId="1C661BEE" w14:textId="404FD9CE" w:rsidR="002C20FB" w:rsidRDefault="00BC2F93" w:rsidP="001006BB">
      <w:r>
        <w:tab/>
      </w:r>
      <w:r>
        <w:tab/>
        <w:t xml:space="preserve">      </w:t>
      </w:r>
      <w:r w:rsidR="002C20FB">
        <w:t>Vous « savez » que l’aléa exceptionnel n’a pas été cartographié à Tignes.</w:t>
      </w:r>
    </w:p>
    <w:p w14:paraId="54794B78" w14:textId="7C62B48B" w:rsidR="00BC2F93" w:rsidRDefault="00BC2F93" w:rsidP="001006BB">
      <w:r>
        <w:tab/>
      </w:r>
      <w:r>
        <w:tab/>
        <w:t xml:space="preserve">      </w:t>
      </w:r>
      <w:r w:rsidR="002C20FB">
        <w:t>Vous savez et que faites vous, sinon de faire semblant que cel</w:t>
      </w:r>
      <w:r w:rsidR="00E64BB9">
        <w:t xml:space="preserve">a n’est pas votre </w:t>
      </w:r>
      <w:r w:rsidR="00E64BB9">
        <w:tab/>
      </w:r>
      <w:r w:rsidR="00E64BB9">
        <w:tab/>
        <w:t xml:space="preserve">     </w:t>
      </w:r>
      <w:r>
        <w:t xml:space="preserve"> </w:t>
      </w:r>
      <w:r w:rsidR="002C20FB">
        <w:t xml:space="preserve">problème ? </w:t>
      </w:r>
    </w:p>
    <w:p w14:paraId="7F159E29" w14:textId="16D9E5C1" w:rsidR="001006BB" w:rsidRDefault="00BC2F93" w:rsidP="001006BB">
      <w:r>
        <w:tab/>
      </w:r>
      <w:r>
        <w:tab/>
        <w:t xml:space="preserve">      </w:t>
      </w:r>
      <w:r w:rsidR="002C20FB">
        <w:t>C’</w:t>
      </w:r>
      <w:r>
        <w:t>e</w:t>
      </w:r>
      <w:r w:rsidR="002C20FB">
        <w:t>st ce qu</w:t>
      </w:r>
      <w:r>
        <w:t xml:space="preserve">e nous persistons à appeler un manque de sens de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responsabilité morale</w:t>
      </w:r>
      <w:r w:rsidR="002C20FB">
        <w:t>.</w:t>
      </w:r>
    </w:p>
    <w:p w14:paraId="637F1511" w14:textId="77777777" w:rsidR="00490131" w:rsidRDefault="00490131" w:rsidP="00490131">
      <w:pPr>
        <w:ind w:left="1985"/>
      </w:pPr>
    </w:p>
    <w:p w14:paraId="2429A363" w14:textId="3609A12A" w:rsidR="002C20FB" w:rsidRDefault="002C20FB" w:rsidP="004D3011">
      <w:pPr>
        <w:pStyle w:val="Paragraphedeliste"/>
        <w:numPr>
          <w:ilvl w:val="0"/>
          <w:numId w:val="1"/>
        </w:numPr>
      </w:pPr>
      <w:r>
        <w:t xml:space="preserve">2° </w:t>
      </w:r>
      <w:r w:rsidR="00490131">
        <w:t>Faire réaliser</w:t>
      </w:r>
      <w:r w:rsidR="00495BF5">
        <w:t xml:space="preserve"> une étude par un bureau d’étud</w:t>
      </w:r>
      <w:r w:rsidR="00490131">
        <w:t>es privé, la garder pour soi et</w:t>
      </w:r>
      <w:r w:rsidR="00F43544">
        <w:t xml:space="preserve"> n’en faire aucune mention dans </w:t>
      </w:r>
      <w:r w:rsidR="00495BF5">
        <w:t>le dossier de permis</w:t>
      </w:r>
      <w:r w:rsidR="00B61246">
        <w:t xml:space="preserve"> nous interpelle sérieusement</w:t>
      </w:r>
      <w:r w:rsidR="00F43544">
        <w:t>.</w:t>
      </w:r>
      <w:r w:rsidR="00B61246">
        <w:t xml:space="preserve">                 </w:t>
      </w:r>
      <w:r w:rsidR="00BC2F93">
        <w:tab/>
      </w:r>
      <w:r w:rsidR="00BC2F93">
        <w:tab/>
      </w:r>
      <w:r w:rsidR="00BC2F93">
        <w:tab/>
      </w:r>
      <w:r w:rsidR="00BC2F93">
        <w:tab/>
      </w:r>
      <w:r w:rsidR="00BC2F93">
        <w:tab/>
      </w:r>
      <w:r w:rsidR="00BC2F93">
        <w:tab/>
      </w:r>
      <w:r w:rsidR="00BC2F93">
        <w:tab/>
      </w:r>
      <w:r w:rsidR="00BC2F93">
        <w:tab/>
        <w:t xml:space="preserve"> Trois séries de questions</w:t>
      </w:r>
      <w:r w:rsidR="00F43544">
        <w:t> :</w:t>
      </w:r>
      <w:r w:rsidR="009854CC">
        <w:t xml:space="preserve"> </w:t>
      </w:r>
      <w:r w:rsidR="00B61246">
        <w:tab/>
      </w:r>
      <w:r w:rsidR="00B61246">
        <w:tab/>
      </w:r>
      <w:r w:rsidR="009854CC">
        <w:t xml:space="preserve">- </w:t>
      </w:r>
      <w:r w:rsidR="00F43544">
        <w:t xml:space="preserve"> ou bien cette étude</w:t>
      </w:r>
      <w:r w:rsidR="009854CC">
        <w:t>, réalisée après le 28 septembre 2015</w:t>
      </w:r>
      <w:r w:rsidR="00F43544">
        <w:t xml:space="preserve"> </w:t>
      </w:r>
      <w:r w:rsidR="009854CC">
        <w:t>a anal</w:t>
      </w:r>
      <w:r w:rsidR="00B61246">
        <w:t>ysé l’aléa exceptionnel et donc,</w:t>
      </w:r>
      <w:r w:rsidR="009854CC">
        <w:t xml:space="preserve"> soit elle indique qu’il y a </w:t>
      </w:r>
      <w:r w:rsidR="00154A7B">
        <w:t xml:space="preserve"> </w:t>
      </w:r>
      <w:r w:rsidR="00F43544">
        <w:t xml:space="preserve">risque </w:t>
      </w:r>
      <w:r w:rsidR="009854CC">
        <w:t>d’aléa exceptionnel sur cet emplacem</w:t>
      </w:r>
      <w:r w:rsidR="00BC2F93">
        <w:t>en</w:t>
      </w:r>
      <w:r w:rsidR="00F43544">
        <w:t xml:space="preserve">t </w:t>
      </w:r>
      <w:r w:rsidR="009854CC">
        <w:t xml:space="preserve">et </w:t>
      </w:r>
      <w:r w:rsidR="00F43544">
        <w:t xml:space="preserve">alors </w:t>
      </w:r>
      <w:r w:rsidR="00154A7B">
        <w:t>pourquoi</w:t>
      </w:r>
      <w:r w:rsidR="00F43544">
        <w:t xml:space="preserve"> l’occultez </w:t>
      </w:r>
      <w:r w:rsidR="00F81BA6">
        <w:t xml:space="preserve">vous </w:t>
      </w:r>
      <w:r w:rsidR="00F43544">
        <w:t xml:space="preserve">en </w:t>
      </w:r>
      <w:r w:rsidR="009854CC">
        <w:t xml:space="preserve">ne </w:t>
      </w:r>
      <w:r w:rsidR="00F43544">
        <w:t>la joignant pas au do</w:t>
      </w:r>
      <w:r w:rsidR="00E756C2">
        <w:t>ssier des risques au demeurant fort complet</w:t>
      </w:r>
      <w:r w:rsidR="00B61246">
        <w:t xml:space="preserve"> que vous avez transmis</w:t>
      </w:r>
      <w:r w:rsidR="009854CC">
        <w:t>, soit</w:t>
      </w:r>
      <w:r w:rsidR="00490131">
        <w:t xml:space="preserve"> elle</w:t>
      </w:r>
      <w:r w:rsidR="00F43544">
        <w:t xml:space="preserve"> </w:t>
      </w:r>
      <w:r w:rsidR="009854CC">
        <w:t>n’en a pas identifié</w:t>
      </w:r>
      <w:r w:rsidR="00F43544">
        <w:t>, et alors, pourquoi</w:t>
      </w:r>
      <w:r w:rsidR="009854CC">
        <w:t>, de la même manière,</w:t>
      </w:r>
      <w:r w:rsidR="00F43544">
        <w:t xml:space="preserve"> ne pas le</w:t>
      </w:r>
      <w:r w:rsidR="00BC2F93">
        <w:t xml:space="preserve"> dire ?</w:t>
      </w:r>
      <w:r w:rsidR="00B61246">
        <w:tab/>
      </w:r>
      <w:r w:rsidR="00B61246">
        <w:tab/>
      </w:r>
      <w:r w:rsidR="00BC2F93">
        <w:t xml:space="preserve">           </w:t>
      </w:r>
      <w:r w:rsidR="00B61246">
        <w:t xml:space="preserve"> </w:t>
      </w:r>
      <w:r w:rsidR="009854CC">
        <w:t xml:space="preserve">- </w:t>
      </w:r>
      <w:r w:rsidR="00F43544">
        <w:t xml:space="preserve"> ou </w:t>
      </w:r>
      <w:r w:rsidR="009854CC">
        <w:t xml:space="preserve">bien </w:t>
      </w:r>
      <w:r w:rsidR="00F43544">
        <w:t>cette étude a é</w:t>
      </w:r>
      <w:r w:rsidR="00E756C2">
        <w:t>té réalisée avant l’officialisa</w:t>
      </w:r>
      <w:r w:rsidR="00F43544">
        <w:t>tion de la notion d’aléa exceptionnel</w:t>
      </w:r>
      <w:r w:rsidR="00E756C2">
        <w:t xml:space="preserve"> le 28 septembre 2015</w:t>
      </w:r>
      <w:r w:rsidR="00F43544">
        <w:t>, e</w:t>
      </w:r>
      <w:r w:rsidR="00E756C2">
        <w:t xml:space="preserve">lle est alors inopérante </w:t>
      </w:r>
      <w:r w:rsidR="00B61246">
        <w:tab/>
      </w:r>
      <w:r w:rsidR="00B61246">
        <w:tab/>
      </w:r>
      <w:r w:rsidR="00B61246">
        <w:tab/>
        <w:t xml:space="preserve"> </w:t>
      </w:r>
      <w:r w:rsidR="009854CC">
        <w:t xml:space="preserve">- </w:t>
      </w:r>
      <w:r w:rsidR="00E756C2">
        <w:t>ou bien cette ét</w:t>
      </w:r>
      <w:r w:rsidR="00F43544">
        <w:t>ude a été réa</w:t>
      </w:r>
      <w:r w:rsidR="00E756C2">
        <w:t>lisée après cette date</w:t>
      </w:r>
      <w:r w:rsidR="009B2BCD">
        <w:t xml:space="preserve"> et </w:t>
      </w:r>
      <w:r w:rsidR="00B61246">
        <w:t xml:space="preserve">son réalisateur ne fait </w:t>
      </w:r>
      <w:r w:rsidR="009854CC">
        <w:t xml:space="preserve">aucune mention </w:t>
      </w:r>
      <w:r w:rsidR="00B61246">
        <w:t xml:space="preserve">de ce risque </w:t>
      </w:r>
      <w:r w:rsidR="009B2BCD">
        <w:t>(en dépit</w:t>
      </w:r>
      <w:r w:rsidR="009854CC">
        <w:t xml:space="preserve"> de la liste des SSAH de l’IRSTEA</w:t>
      </w:r>
      <w:r w:rsidR="009B2BCD">
        <w:t>)</w:t>
      </w:r>
      <w:r w:rsidR="00F43544">
        <w:t xml:space="preserve"> et son profession</w:t>
      </w:r>
      <w:r w:rsidR="00E756C2">
        <w:t>n</w:t>
      </w:r>
      <w:r w:rsidR="00B61246">
        <w:t>alisme po</w:t>
      </w:r>
      <w:r w:rsidR="00FB68FD">
        <w:t>u</w:t>
      </w:r>
      <w:r w:rsidR="00B61246">
        <w:t>rrait</w:t>
      </w:r>
      <w:r w:rsidR="00F43544">
        <w:t xml:space="preserve"> alors </w:t>
      </w:r>
      <w:r w:rsidR="00B61246">
        <w:t xml:space="preserve">être </w:t>
      </w:r>
      <w:r w:rsidR="00F43544">
        <w:lastRenderedPageBreak/>
        <w:t xml:space="preserve">gravement </w:t>
      </w:r>
      <w:r w:rsidR="00B61246">
        <w:t xml:space="preserve">mis </w:t>
      </w:r>
      <w:r w:rsidR="00F43544">
        <w:t>en cause</w:t>
      </w:r>
      <w:r w:rsidR="00E756C2">
        <w:t xml:space="preserve">. </w:t>
      </w:r>
      <w:r w:rsidR="004704A7">
        <w:tab/>
      </w:r>
      <w:r w:rsidR="004704A7">
        <w:tab/>
      </w:r>
      <w:r w:rsidR="004704A7">
        <w:tab/>
      </w:r>
      <w:r w:rsidR="004704A7">
        <w:tab/>
        <w:t xml:space="preserve">          </w:t>
      </w:r>
      <w:r w:rsidR="00BC2F93">
        <w:tab/>
      </w:r>
      <w:r w:rsidR="00BC2F93">
        <w:tab/>
      </w:r>
      <w:r w:rsidR="00BC2F93">
        <w:tab/>
      </w:r>
      <w:r w:rsidR="00BC2F93">
        <w:tab/>
      </w:r>
      <w:r w:rsidR="004704A7">
        <w:t xml:space="preserve"> </w:t>
      </w:r>
      <w:r w:rsidR="00E756C2">
        <w:t>Vous connaissez la réponse</w:t>
      </w:r>
      <w:r w:rsidR="004704A7">
        <w:t xml:space="preserve"> les réponses à ces interrogations</w:t>
      </w:r>
      <w:r w:rsidR="00965A73">
        <w:t>.</w:t>
      </w:r>
    </w:p>
    <w:p w14:paraId="2E1CCFD8" w14:textId="77777777" w:rsidR="004D3011" w:rsidRDefault="004D3011" w:rsidP="004D3011"/>
    <w:p w14:paraId="5543F096" w14:textId="77777777" w:rsidR="004D3011" w:rsidRDefault="004D3011" w:rsidP="004D3011"/>
    <w:p w14:paraId="7A3BBF29" w14:textId="5C5E03E8" w:rsidR="00FB68FD" w:rsidRDefault="00A72925" w:rsidP="004D3011">
      <w:r>
        <w:tab/>
      </w:r>
      <w:r>
        <w:tab/>
        <w:t xml:space="preserve">  -    3° l’aléa excep</w:t>
      </w:r>
      <w:r w:rsidR="004D3011">
        <w:t xml:space="preserve">tionnel </w:t>
      </w:r>
      <w:r w:rsidR="0018210A">
        <w:t>doit figurer impérati</w:t>
      </w:r>
      <w:r w:rsidR="004704A7">
        <w:t>vement sur le PPR A pour la rai</w:t>
      </w:r>
      <w:r w:rsidR="00E64BB9">
        <w:t xml:space="preserve">son </w:t>
      </w:r>
      <w:r w:rsidR="00E64BB9">
        <w:tab/>
      </w:r>
      <w:r w:rsidR="00E64BB9">
        <w:tab/>
        <w:t xml:space="preserve">       </w:t>
      </w:r>
      <w:r w:rsidR="004D3011">
        <w:t>fondamentale</w:t>
      </w:r>
      <w:r w:rsidR="0018210A">
        <w:t xml:space="preserve"> que</w:t>
      </w:r>
      <w:r w:rsidR="00E64BB9">
        <w:t xml:space="preserve"> doivent pouvoir </w:t>
      </w:r>
      <w:r w:rsidR="0018210A">
        <w:t xml:space="preserve">être informés du risque non </w:t>
      </w:r>
      <w:r w:rsidR="00CF11D3">
        <w:tab/>
      </w:r>
      <w:r w:rsidR="00CF11D3">
        <w:tab/>
      </w:r>
      <w:r w:rsidR="00CF11D3">
        <w:tab/>
      </w:r>
      <w:r w:rsidR="00CF11D3">
        <w:tab/>
      </w:r>
      <w:r w:rsidR="00E64BB9">
        <w:t xml:space="preserve">       </w:t>
      </w:r>
      <w:r w:rsidR="00CF11D3">
        <w:t>seulement le</w:t>
      </w:r>
      <w:r w:rsidR="00154A7B">
        <w:t xml:space="preserve"> responsables </w:t>
      </w:r>
      <w:r w:rsidR="0018210A">
        <w:t xml:space="preserve"> du PCS, du DICRIM mais </w:t>
      </w:r>
      <w:r>
        <w:t>aussi les</w:t>
      </w:r>
      <w:r w:rsidR="00154A7B">
        <w:t xml:space="preserve"> personnes à </w:t>
      </w:r>
    </w:p>
    <w:p w14:paraId="10451F10" w14:textId="0839E8DB" w:rsidR="004D3011" w:rsidRDefault="00E64BB9" w:rsidP="004D3011">
      <w:r>
        <w:tab/>
      </w:r>
      <w:r>
        <w:tab/>
        <w:t xml:space="preserve">       </w:t>
      </w:r>
      <w:r w:rsidR="00154A7B">
        <w:t>évacuer ou …à confiner.</w:t>
      </w:r>
      <w:r w:rsidR="004704A7">
        <w:t xml:space="preserve"> C’est d’ailleurs la rais</w:t>
      </w:r>
      <w:r>
        <w:t xml:space="preserve">on qui justifie que cet aléa </w:t>
      </w:r>
      <w:r>
        <w:tab/>
        <w:t xml:space="preserve">     </w:t>
      </w:r>
      <w:r>
        <w:tab/>
        <w:t xml:space="preserve">                   </w:t>
      </w:r>
      <w:r w:rsidR="004704A7">
        <w:t>soit précisé » sur les cartes réglementaires du PPR A.</w:t>
      </w:r>
    </w:p>
    <w:p w14:paraId="57CE2999" w14:textId="2BAB0A95" w:rsidR="004704A7" w:rsidRDefault="00E64BB9" w:rsidP="004D3011">
      <w:r>
        <w:tab/>
      </w:r>
      <w:r>
        <w:tab/>
        <w:t xml:space="preserve">       </w:t>
      </w:r>
      <w:r w:rsidR="00154A7B">
        <w:t>Comment peut-on imaginer que le</w:t>
      </w:r>
      <w:r w:rsidR="004704A7">
        <w:t xml:space="preserve"> maire de Tig</w:t>
      </w:r>
      <w:r>
        <w:t xml:space="preserve">nes puisse décider d’évacuer </w:t>
      </w:r>
      <w:r>
        <w:tab/>
      </w:r>
      <w:r>
        <w:tab/>
        <w:t xml:space="preserve">       </w:t>
      </w:r>
      <w:r w:rsidR="004704A7">
        <w:t xml:space="preserve">ou de confiner s’il n’a </w:t>
      </w:r>
      <w:r w:rsidR="00154A7B">
        <w:t>pas connaissance du zonage de l’aléa exceptionnel</w:t>
      </w:r>
      <w:r w:rsidR="00DC7800">
        <w:t xml:space="preserve"> </w:t>
      </w:r>
      <w:r w:rsidR="00DC7800">
        <w:tab/>
      </w:r>
      <w:r w:rsidR="00DC7800">
        <w:tab/>
      </w:r>
      <w:r w:rsidR="00DC7800">
        <w:tab/>
      </w:r>
      <w:r>
        <w:t xml:space="preserve">       </w:t>
      </w:r>
      <w:r w:rsidR="00DC7800">
        <w:t>indiquant où et qui évacuer ou confiner</w:t>
      </w:r>
      <w:r w:rsidR="00154A7B">
        <w:t xml:space="preserve">? </w:t>
      </w:r>
      <w:r w:rsidR="00A72925">
        <w:t xml:space="preserve"> </w:t>
      </w:r>
      <w:r w:rsidR="004704A7">
        <w:t>Il n’a alors aucun moyen de</w:t>
      </w:r>
      <w:r w:rsidR="00A72925">
        <w:t xml:space="preserve"> savoir </w:t>
      </w:r>
      <w:r>
        <w:tab/>
      </w:r>
      <w:r>
        <w:tab/>
        <w:t xml:space="preserve">       </w:t>
      </w:r>
      <w:r w:rsidR="004704A7">
        <w:t xml:space="preserve">où faire appliquer ses consignes </w:t>
      </w:r>
      <w:r w:rsidR="00A72925">
        <w:t xml:space="preserve">et vous ne pouvez </w:t>
      </w:r>
      <w:r w:rsidR="009B2BCD">
        <w:t>l’ignorer.</w:t>
      </w:r>
      <w:r w:rsidR="00A72925">
        <w:t xml:space="preserve"> </w:t>
      </w:r>
    </w:p>
    <w:p w14:paraId="1BC75F71" w14:textId="3112BFC8" w:rsidR="00DC7800" w:rsidRDefault="004704A7" w:rsidP="004D3011">
      <w:r>
        <w:tab/>
      </w:r>
      <w:r>
        <w:tab/>
      </w:r>
      <w:r w:rsidR="00E64BB9">
        <w:t xml:space="preserve">      </w:t>
      </w:r>
      <w:r w:rsidR="00A72925">
        <w:t>Vous nous avez fait</w:t>
      </w:r>
      <w:r>
        <w:t xml:space="preserve"> état </w:t>
      </w:r>
      <w:r w:rsidR="00A72925">
        <w:t>des nombreux spécialistes qui vous on</w:t>
      </w:r>
      <w:r w:rsidR="009854CC">
        <w:t xml:space="preserve">t </w:t>
      </w:r>
    </w:p>
    <w:p w14:paraId="09B5460F" w14:textId="2BD104CE" w:rsidR="00154A7B" w:rsidRDefault="00E64BB9" w:rsidP="004D3011">
      <w:r>
        <w:tab/>
      </w:r>
      <w:r>
        <w:tab/>
        <w:t xml:space="preserve">       </w:t>
      </w:r>
      <w:r w:rsidR="00F57908">
        <w:t>a</w:t>
      </w:r>
      <w:r>
        <w:t>c</w:t>
      </w:r>
      <w:r w:rsidR="00C11238">
        <w:t>c</w:t>
      </w:r>
      <w:r w:rsidR="009854CC">
        <w:t>ompagné</w:t>
      </w:r>
      <w:r w:rsidR="00F57908">
        <w:t xml:space="preserve">s </w:t>
      </w:r>
      <w:r w:rsidR="009854CC">
        <w:t>dans l’élaboration</w:t>
      </w:r>
      <w:r w:rsidR="004704A7">
        <w:t xml:space="preserve"> de </w:t>
      </w:r>
      <w:r w:rsidR="00A72925">
        <w:t>votre dossier</w:t>
      </w:r>
      <w:r w:rsidR="009B2BCD">
        <w:t xml:space="preserve">. Comment se pourrait-il </w:t>
      </w:r>
      <w:r>
        <w:tab/>
      </w:r>
      <w:r>
        <w:tab/>
      </w:r>
      <w:r>
        <w:tab/>
        <w:t xml:space="preserve">       </w:t>
      </w:r>
      <w:r w:rsidR="009B2BCD">
        <w:t>qu’aucun d’entre eux n</w:t>
      </w:r>
      <w:r w:rsidR="00CF11D3">
        <w:t>e vous</w:t>
      </w:r>
      <w:r w:rsidR="005A12F8">
        <w:t xml:space="preserve"> </w:t>
      </w:r>
      <w:r w:rsidR="004704A7">
        <w:t xml:space="preserve">ait </w:t>
      </w:r>
      <w:r w:rsidR="009B2BCD">
        <w:t>mention</w:t>
      </w:r>
      <w:r w:rsidR="005A12F8">
        <w:t>né</w:t>
      </w:r>
      <w:r w:rsidR="009B2BCD">
        <w:t xml:space="preserve"> ce risque d’aléa exceptionnel ?</w:t>
      </w:r>
    </w:p>
    <w:p w14:paraId="0AB337F2" w14:textId="0917DF26" w:rsidR="00154A7B" w:rsidRDefault="00DC7800" w:rsidP="004D3011">
      <w:r>
        <w:t xml:space="preserve"> </w:t>
      </w:r>
    </w:p>
    <w:p w14:paraId="1875F35E" w14:textId="049311F9" w:rsidR="00154A7B" w:rsidRDefault="00154A7B" w:rsidP="004D3011">
      <w:r>
        <w:tab/>
      </w:r>
      <w:r>
        <w:tab/>
      </w:r>
      <w:r>
        <w:tab/>
      </w:r>
    </w:p>
    <w:p w14:paraId="4654B144" w14:textId="1DC8B8CB" w:rsidR="004704A7" w:rsidRDefault="004704A7" w:rsidP="004D3011">
      <w:r>
        <w:t>Vous comprendrez dans ces conditions que nous persistions à vous demander de prendre en compte la dimension réelle de cette question, compte tenu de vos obligations de clarté et de responsabil</w:t>
      </w:r>
      <w:r w:rsidR="00E64BB9">
        <w:t>i</w:t>
      </w:r>
      <w:r>
        <w:t>t</w:t>
      </w:r>
      <w:r w:rsidR="00DC7800">
        <w:t>é à la fois sociale et civique.</w:t>
      </w:r>
    </w:p>
    <w:p w14:paraId="2E7E2645" w14:textId="77777777" w:rsidR="004704A7" w:rsidRDefault="004704A7" w:rsidP="004D3011"/>
    <w:p w14:paraId="54AEA69F" w14:textId="77777777" w:rsidR="00B71C7B" w:rsidRDefault="004704A7" w:rsidP="004D3011">
      <w:r>
        <w:t>Nous vous prions d’agréer, Monsieur le président-directeur-général, l’expression de nos salutations distinguées</w:t>
      </w:r>
    </w:p>
    <w:p w14:paraId="329EFFED" w14:textId="77777777" w:rsidR="00B71C7B" w:rsidRDefault="00B71C7B" w:rsidP="004D3011"/>
    <w:p w14:paraId="18CCF94C" w14:textId="77777777" w:rsidR="00B71C7B" w:rsidRDefault="00B71C7B" w:rsidP="004D3011"/>
    <w:p w14:paraId="4CFCD2FF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</w:p>
    <w:p w14:paraId="1A376ABD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6A028D">
        <w:rPr>
          <w:rFonts w:ascii="Helvetica" w:hAnsi="Helvetica" w:cs="Helvetica"/>
          <w:bCs/>
        </w:rPr>
        <w:t xml:space="preserve">de la part du Bureau de l'AIRAP   </w:t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  <w:t>le président</w:t>
      </w:r>
    </w:p>
    <w:p w14:paraId="5B068FED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5CC6AF0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2F4BFC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6782D15F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0A706A6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  <w:t>Jean-Claude Bourdais</w:t>
      </w:r>
    </w:p>
    <w:p w14:paraId="42B6DFAD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A028D">
        <w:rPr>
          <w:rFonts w:ascii="Helvetica" w:hAnsi="Helvetica" w:cs="Helvetica"/>
          <w:bCs/>
        </w:rPr>
        <w:t>Jean-Guy-Cuvelier</w:t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  <w:r w:rsidRPr="006A028D">
        <w:rPr>
          <w:rFonts w:ascii="Helvetica" w:hAnsi="Helvetica" w:cs="Helvetica"/>
          <w:bCs/>
        </w:rPr>
        <w:tab/>
      </w:r>
    </w:p>
    <w:p w14:paraId="7CAFD3B9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A028D">
        <w:rPr>
          <w:rFonts w:ascii="Helvetica" w:hAnsi="Helvetica" w:cs="Helvetica"/>
          <w:bCs/>
        </w:rPr>
        <w:t>Gilbert Delaunay</w:t>
      </w:r>
    </w:p>
    <w:p w14:paraId="005A6549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A028D">
        <w:rPr>
          <w:rFonts w:ascii="Helvetica" w:hAnsi="Helvetica" w:cs="Helvetica"/>
          <w:bCs/>
        </w:rPr>
        <w:t>Fenvac (Fédération nationale des victimes d'accidents collectifs)</w:t>
      </w:r>
    </w:p>
    <w:p w14:paraId="26EC4569" w14:textId="77777777" w:rsidR="00B71C7B" w:rsidRPr="006A028D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A028D">
        <w:rPr>
          <w:rFonts w:ascii="Helvetica" w:hAnsi="Helvetica" w:cs="Helvetica"/>
          <w:bCs/>
        </w:rPr>
        <w:t>Jacques Guespereau</w:t>
      </w:r>
    </w:p>
    <w:p w14:paraId="512FA736" w14:textId="77777777" w:rsidR="00B71C7B" w:rsidRDefault="00B71C7B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6A028D">
        <w:rPr>
          <w:rFonts w:ascii="Helvetica" w:hAnsi="Helvetica" w:cs="Helvetica"/>
          <w:bCs/>
        </w:rPr>
        <w:t>Yves Meynial</w:t>
      </w:r>
    </w:p>
    <w:p w14:paraId="5788A04C" w14:textId="77777777" w:rsidR="000A1E08" w:rsidRDefault="000A1E08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F7A6491" w14:textId="77777777" w:rsidR="000A1E08" w:rsidRDefault="000A1E08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0570EA2B" w14:textId="77777777" w:rsidR="000A1E08" w:rsidRDefault="000A1E08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57D41EC7" w14:textId="77777777" w:rsidR="000A1E08" w:rsidRDefault="000A1E08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76C2C22" w14:textId="35476EFB" w:rsidR="005B05F4" w:rsidRDefault="002B5DAD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Copie :</w:t>
      </w:r>
      <w:r w:rsidR="005B05F4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 xml:space="preserve">- </w:t>
      </w:r>
      <w:r w:rsidR="005B05F4">
        <w:rPr>
          <w:rFonts w:ascii="Helvetica" w:hAnsi="Helvetica" w:cs="Helvetica"/>
          <w:bCs/>
        </w:rPr>
        <w:t xml:space="preserve">   </w:t>
      </w:r>
      <w:r>
        <w:rPr>
          <w:rFonts w:ascii="Helvetica" w:hAnsi="Helvetica" w:cs="Helvetica"/>
          <w:bCs/>
        </w:rPr>
        <w:t>Commissaire-enquêteur</w:t>
      </w:r>
      <w:r w:rsidR="005B05F4">
        <w:rPr>
          <w:rFonts w:ascii="Helvetica" w:hAnsi="Helvetica" w:cs="Helvetica"/>
          <w:bCs/>
        </w:rPr>
        <w:tab/>
      </w:r>
    </w:p>
    <w:p w14:paraId="3D0135B8" w14:textId="245CE09C" w:rsidR="005B05F4" w:rsidRDefault="005B05F4" w:rsidP="005B05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5B05F4">
        <w:rPr>
          <w:rFonts w:ascii="Helvetica" w:hAnsi="Helvetica" w:cs="Helvetica"/>
          <w:bCs/>
        </w:rPr>
        <w:t>Préfet de Savoie</w:t>
      </w:r>
    </w:p>
    <w:p w14:paraId="10795FEA" w14:textId="1B61477C" w:rsidR="005B05F4" w:rsidRPr="005B05F4" w:rsidRDefault="005B05F4" w:rsidP="005B05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DDT de Savoie</w:t>
      </w:r>
    </w:p>
    <w:p w14:paraId="4AE4076C" w14:textId="647773A9" w:rsidR="005B05F4" w:rsidRDefault="005B05F4" w:rsidP="005B05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DGPR</w:t>
      </w:r>
    </w:p>
    <w:p w14:paraId="47E2D7A3" w14:textId="559D065D" w:rsidR="005B05F4" w:rsidRDefault="005B05F4" w:rsidP="005B05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Ministère de la transition écologique</w:t>
      </w:r>
    </w:p>
    <w:p w14:paraId="7E0031B7" w14:textId="6C056ECD" w:rsidR="005B05F4" w:rsidRPr="005B05F4" w:rsidRDefault="005B05F4" w:rsidP="005B05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Cabinet du Premier Ministre</w:t>
      </w:r>
    </w:p>
    <w:p w14:paraId="2C2E9138" w14:textId="11B4B587" w:rsidR="00B71C7B" w:rsidRPr="006A028D" w:rsidRDefault="005B05F4" w:rsidP="00B71C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 xml:space="preserve"> </w:t>
      </w:r>
    </w:p>
    <w:p w14:paraId="1185D994" w14:textId="77777777" w:rsidR="00B71C7B" w:rsidRPr="006A028D" w:rsidRDefault="00B71C7B" w:rsidP="00B71C7B"/>
    <w:p w14:paraId="00061653" w14:textId="4B3B0797" w:rsidR="00154A7B" w:rsidRDefault="004704A7" w:rsidP="004D3011">
      <w:r>
        <w:tab/>
      </w:r>
      <w:r>
        <w:tab/>
      </w:r>
    </w:p>
    <w:p w14:paraId="67F208E0" w14:textId="77777777" w:rsidR="00F43544" w:rsidRDefault="00F43544" w:rsidP="001006BB"/>
    <w:p w14:paraId="73997802" w14:textId="77777777" w:rsidR="001006BB" w:rsidRDefault="001006BB" w:rsidP="001006BB"/>
    <w:p w14:paraId="4161B0D3" w14:textId="12D64B0C" w:rsidR="00977DF7" w:rsidRDefault="00977DF7"/>
    <w:sectPr w:rsidR="00977DF7" w:rsidSect="00F25DD0">
      <w:footerReference w:type="even" r:id="rId9"/>
      <w:footerReference w:type="default" r:id="rId10"/>
      <w:pgSz w:w="11900" w:h="16820"/>
      <w:pgMar w:top="1418" w:right="141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86E9" w14:textId="77777777" w:rsidR="002B5DAD" w:rsidRDefault="002B5DAD" w:rsidP="002B5DAD">
      <w:r>
        <w:separator/>
      </w:r>
    </w:p>
  </w:endnote>
  <w:endnote w:type="continuationSeparator" w:id="0">
    <w:p w14:paraId="01E29391" w14:textId="77777777" w:rsidR="002B5DAD" w:rsidRDefault="002B5DAD" w:rsidP="002B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A29E" w14:textId="77777777" w:rsidR="002B5DAD" w:rsidRDefault="002B5DAD" w:rsidP="002B5D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6D9623" w14:textId="77777777" w:rsidR="002B5DAD" w:rsidRDefault="002B5DAD" w:rsidP="002B5D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5D64A" w14:textId="77777777" w:rsidR="002B5DAD" w:rsidRDefault="002B5DAD" w:rsidP="002B5D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7F7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70FCF9" w14:textId="77777777" w:rsidR="002B5DAD" w:rsidRDefault="002B5DAD" w:rsidP="002B5D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A75F" w14:textId="77777777" w:rsidR="002B5DAD" w:rsidRDefault="002B5DAD" w:rsidP="002B5DAD">
      <w:r>
        <w:separator/>
      </w:r>
    </w:p>
  </w:footnote>
  <w:footnote w:type="continuationSeparator" w:id="0">
    <w:p w14:paraId="25CC6FC5" w14:textId="77777777" w:rsidR="002B5DAD" w:rsidRDefault="002B5DAD" w:rsidP="002B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FD1"/>
    <w:multiLevelType w:val="hybridMultilevel"/>
    <w:tmpl w:val="BBF0633E"/>
    <w:lvl w:ilvl="0" w:tplc="94F28550">
      <w:start w:val="246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8F"/>
    <w:rsid w:val="000A1E08"/>
    <w:rsid w:val="000E264A"/>
    <w:rsid w:val="001006BB"/>
    <w:rsid w:val="00154A7B"/>
    <w:rsid w:val="0018210A"/>
    <w:rsid w:val="001F7E6B"/>
    <w:rsid w:val="00227F74"/>
    <w:rsid w:val="002B5DAD"/>
    <w:rsid w:val="002C20FB"/>
    <w:rsid w:val="00362003"/>
    <w:rsid w:val="003B7FD0"/>
    <w:rsid w:val="00441355"/>
    <w:rsid w:val="004704A7"/>
    <w:rsid w:val="00490131"/>
    <w:rsid w:val="00495BF5"/>
    <w:rsid w:val="004D3011"/>
    <w:rsid w:val="005933E0"/>
    <w:rsid w:val="005A12F8"/>
    <w:rsid w:val="005B05F4"/>
    <w:rsid w:val="005F00C6"/>
    <w:rsid w:val="00904D22"/>
    <w:rsid w:val="00947B3C"/>
    <w:rsid w:val="00965A73"/>
    <w:rsid w:val="00977DF7"/>
    <w:rsid w:val="009854CC"/>
    <w:rsid w:val="009B2BCD"/>
    <w:rsid w:val="00A53606"/>
    <w:rsid w:val="00A72925"/>
    <w:rsid w:val="00B33B2B"/>
    <w:rsid w:val="00B40542"/>
    <w:rsid w:val="00B5698F"/>
    <w:rsid w:val="00B61246"/>
    <w:rsid w:val="00B71C7B"/>
    <w:rsid w:val="00BC2F93"/>
    <w:rsid w:val="00C11238"/>
    <w:rsid w:val="00CF11D3"/>
    <w:rsid w:val="00D055DA"/>
    <w:rsid w:val="00D416C2"/>
    <w:rsid w:val="00D957B4"/>
    <w:rsid w:val="00DB4863"/>
    <w:rsid w:val="00DC7800"/>
    <w:rsid w:val="00E64BB9"/>
    <w:rsid w:val="00E756C2"/>
    <w:rsid w:val="00F25DD0"/>
    <w:rsid w:val="00F43544"/>
    <w:rsid w:val="00F57908"/>
    <w:rsid w:val="00F81BA6"/>
    <w:rsid w:val="00FA4212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592A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569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7DF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5D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DAD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2B5D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569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7DF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5D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DAD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2B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irap.asso.fr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966</Words>
  <Characters>5316</Characters>
  <Application>Microsoft Macintosh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BOURDAIS</dc:creator>
  <cp:keywords/>
  <dc:description/>
  <cp:lastModifiedBy>JEAN-CLAUDE BOURDAIS</cp:lastModifiedBy>
  <cp:revision>31</cp:revision>
  <cp:lastPrinted>2018-03-30T14:47:00Z</cp:lastPrinted>
  <dcterms:created xsi:type="dcterms:W3CDTF">2018-03-18T06:07:00Z</dcterms:created>
  <dcterms:modified xsi:type="dcterms:W3CDTF">2018-03-30T14:47:00Z</dcterms:modified>
</cp:coreProperties>
</file>